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8285" w14:textId="61257C25" w:rsidR="00D67BA2" w:rsidRDefault="007A0B5B">
      <w:pPr>
        <w:pStyle w:val="Corpsdetexte"/>
        <w:spacing w:before="8"/>
      </w:pPr>
      <w:r>
        <w:rPr>
          <w:noProof/>
        </w:rPr>
        <w:drawing>
          <wp:anchor distT="0" distB="0" distL="0" distR="0" simplePos="0" relativeHeight="251658240" behindDoc="0" locked="0" layoutInCell="1" allowOverlap="1" wp14:anchorId="166C82E1" wp14:editId="166C82E2">
            <wp:simplePos x="0" y="0"/>
            <wp:positionH relativeFrom="page">
              <wp:posOffset>502919</wp:posOffset>
            </wp:positionH>
            <wp:positionV relativeFrom="paragraph">
              <wp:posOffset>198210</wp:posOffset>
            </wp:positionV>
            <wp:extent cx="4841748" cy="2240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841748" cy="224027"/>
                    </a:xfrm>
                    <a:prstGeom prst="rect">
                      <a:avLst/>
                    </a:prstGeom>
                  </pic:spPr>
                </pic:pic>
              </a:graphicData>
            </a:graphic>
          </wp:anchor>
        </w:drawing>
      </w:r>
      <w:r w:rsidR="006024A6">
        <w:t>EVALUATIONS DN MADE</w:t>
      </w:r>
    </w:p>
    <w:p w14:paraId="166C8286" w14:textId="77777777" w:rsidR="00D67BA2" w:rsidRDefault="00D67BA2">
      <w:pPr>
        <w:pStyle w:val="Corpsdetexte"/>
        <w:rPr>
          <w:sz w:val="20"/>
        </w:rPr>
      </w:pPr>
    </w:p>
    <w:p w14:paraId="166C8287" w14:textId="77777777" w:rsidR="00D67BA2" w:rsidRDefault="00D67BA2">
      <w:pPr>
        <w:pStyle w:val="Corpsdetexte"/>
        <w:rPr>
          <w:sz w:val="20"/>
        </w:rPr>
      </w:pPr>
    </w:p>
    <w:p w14:paraId="166C8288" w14:textId="77777777" w:rsidR="00D67BA2" w:rsidRDefault="00D67BA2">
      <w:pPr>
        <w:pStyle w:val="Corpsdetexte"/>
        <w:spacing w:before="4" w:after="1"/>
        <w:rPr>
          <w:sz w:val="18"/>
        </w:rPr>
      </w:pPr>
    </w:p>
    <w:tbl>
      <w:tblPr>
        <w:tblStyle w:val="TableNormal"/>
        <w:tblW w:w="0" w:type="auto"/>
        <w:tblInd w:w="133" w:type="dxa"/>
        <w:tblBorders>
          <w:top w:val="single" w:sz="6" w:space="0" w:color="343434"/>
          <w:left w:val="single" w:sz="6" w:space="0" w:color="343434"/>
          <w:bottom w:val="single" w:sz="6" w:space="0" w:color="343434"/>
          <w:right w:val="single" w:sz="6" w:space="0" w:color="343434"/>
          <w:insideH w:val="single" w:sz="6" w:space="0" w:color="343434"/>
          <w:insideV w:val="single" w:sz="6" w:space="0" w:color="343434"/>
        </w:tblBorders>
        <w:tblLayout w:type="fixed"/>
        <w:tblLook w:val="01E0" w:firstRow="1" w:lastRow="1" w:firstColumn="1" w:lastColumn="1" w:noHBand="0" w:noVBand="0"/>
      </w:tblPr>
      <w:tblGrid>
        <w:gridCol w:w="3768"/>
        <w:gridCol w:w="1829"/>
        <w:gridCol w:w="1824"/>
        <w:gridCol w:w="2040"/>
      </w:tblGrid>
      <w:tr w:rsidR="00D67BA2" w14:paraId="166C8291" w14:textId="77777777">
        <w:trPr>
          <w:trHeight w:val="1089"/>
        </w:trPr>
        <w:tc>
          <w:tcPr>
            <w:tcW w:w="3768" w:type="dxa"/>
          </w:tcPr>
          <w:p w14:paraId="166C8289" w14:textId="77777777" w:rsidR="00D67BA2" w:rsidRDefault="00D67BA2">
            <w:pPr>
              <w:pStyle w:val="TableParagraph"/>
              <w:spacing w:before="1"/>
              <w:rPr>
                <w:sz w:val="27"/>
              </w:rPr>
            </w:pPr>
          </w:p>
          <w:p w14:paraId="166C828A" w14:textId="77777777" w:rsidR="00D67BA2" w:rsidRDefault="007A0B5B">
            <w:pPr>
              <w:pStyle w:val="TableParagraph"/>
              <w:ind w:left="39"/>
              <w:rPr>
                <w:sz w:val="21"/>
              </w:rPr>
            </w:pPr>
            <w:r>
              <w:rPr>
                <w:color w:val="0F0F0F"/>
                <w:sz w:val="21"/>
              </w:rPr>
              <w:t xml:space="preserve">Bloc </w:t>
            </w:r>
            <w:r>
              <w:rPr>
                <w:color w:val="212121"/>
                <w:sz w:val="21"/>
              </w:rPr>
              <w:t xml:space="preserve">de </w:t>
            </w:r>
            <w:r>
              <w:rPr>
                <w:sz w:val="21"/>
              </w:rPr>
              <w:t>compétences</w:t>
            </w:r>
          </w:p>
        </w:tc>
        <w:tc>
          <w:tcPr>
            <w:tcW w:w="1829" w:type="dxa"/>
          </w:tcPr>
          <w:p w14:paraId="166C828B" w14:textId="77777777" w:rsidR="00D67BA2" w:rsidRDefault="00D67BA2">
            <w:pPr>
              <w:pStyle w:val="TableParagraph"/>
              <w:spacing w:before="10"/>
              <w:rPr>
                <w:sz w:val="27"/>
              </w:rPr>
            </w:pPr>
          </w:p>
          <w:p w14:paraId="24455B37" w14:textId="77777777" w:rsidR="00D67BA2" w:rsidRDefault="007A0B5B">
            <w:pPr>
              <w:pStyle w:val="TableParagraph"/>
              <w:ind w:left="541"/>
              <w:rPr>
                <w:color w:val="343434"/>
                <w:w w:val="105"/>
                <w:sz w:val="20"/>
              </w:rPr>
            </w:pPr>
            <w:r>
              <w:rPr>
                <w:w w:val="105"/>
                <w:sz w:val="20"/>
              </w:rPr>
              <w:t xml:space="preserve">Niveau </w:t>
            </w:r>
            <w:r>
              <w:rPr>
                <w:color w:val="343434"/>
                <w:w w:val="105"/>
                <w:sz w:val="20"/>
              </w:rPr>
              <w:t>1</w:t>
            </w:r>
          </w:p>
          <w:p w14:paraId="166C828C" w14:textId="23F143D5" w:rsidR="006E765D" w:rsidRDefault="00A351AC">
            <w:pPr>
              <w:pStyle w:val="TableParagraph"/>
              <w:ind w:left="541"/>
              <w:rPr>
                <w:sz w:val="20"/>
              </w:rPr>
            </w:pPr>
            <w:r>
              <w:rPr>
                <w:color w:val="343434"/>
                <w:w w:val="105"/>
                <w:sz w:val="20"/>
              </w:rPr>
              <w:t>INITIATION</w:t>
            </w:r>
          </w:p>
        </w:tc>
        <w:tc>
          <w:tcPr>
            <w:tcW w:w="1824" w:type="dxa"/>
          </w:tcPr>
          <w:p w14:paraId="166C828D" w14:textId="77777777" w:rsidR="00D67BA2" w:rsidRDefault="00D67BA2">
            <w:pPr>
              <w:pStyle w:val="TableParagraph"/>
              <w:spacing w:before="10"/>
              <w:rPr>
                <w:sz w:val="27"/>
              </w:rPr>
            </w:pPr>
          </w:p>
          <w:p w14:paraId="65BC997D" w14:textId="77777777" w:rsidR="00D67BA2" w:rsidRDefault="007A0B5B">
            <w:pPr>
              <w:pStyle w:val="TableParagraph"/>
              <w:ind w:left="541"/>
              <w:rPr>
                <w:color w:val="131313"/>
                <w:sz w:val="20"/>
              </w:rPr>
            </w:pPr>
            <w:r>
              <w:rPr>
                <w:sz w:val="20"/>
              </w:rPr>
              <w:t xml:space="preserve">Niveau </w:t>
            </w:r>
            <w:r>
              <w:rPr>
                <w:color w:val="131313"/>
                <w:sz w:val="20"/>
              </w:rPr>
              <w:t>2</w:t>
            </w:r>
          </w:p>
          <w:p w14:paraId="166C828E" w14:textId="1E5F4E11" w:rsidR="007A0B5B" w:rsidRDefault="007A0B5B">
            <w:pPr>
              <w:pStyle w:val="TableParagraph"/>
              <w:ind w:left="541"/>
              <w:rPr>
                <w:sz w:val="20"/>
              </w:rPr>
            </w:pPr>
            <w:r>
              <w:rPr>
                <w:color w:val="131313"/>
                <w:sz w:val="20"/>
              </w:rPr>
              <w:t>GUIDER</w:t>
            </w:r>
          </w:p>
        </w:tc>
        <w:tc>
          <w:tcPr>
            <w:tcW w:w="2040" w:type="dxa"/>
          </w:tcPr>
          <w:p w14:paraId="166C828F" w14:textId="77777777" w:rsidR="00D67BA2" w:rsidRDefault="00D67BA2">
            <w:pPr>
              <w:pStyle w:val="TableParagraph"/>
              <w:spacing w:before="1"/>
              <w:rPr>
                <w:sz w:val="27"/>
              </w:rPr>
            </w:pPr>
          </w:p>
          <w:p w14:paraId="1EE08663" w14:textId="77777777" w:rsidR="00D67BA2" w:rsidRDefault="007A0B5B">
            <w:pPr>
              <w:pStyle w:val="TableParagraph"/>
              <w:ind w:left="645"/>
              <w:rPr>
                <w:color w:val="3B3B3B"/>
                <w:sz w:val="21"/>
              </w:rPr>
            </w:pPr>
            <w:r>
              <w:rPr>
                <w:sz w:val="21"/>
              </w:rPr>
              <w:t xml:space="preserve">Niveau </w:t>
            </w:r>
            <w:r>
              <w:rPr>
                <w:color w:val="3B3B3B"/>
                <w:sz w:val="21"/>
              </w:rPr>
              <w:t>3</w:t>
            </w:r>
          </w:p>
          <w:p w14:paraId="166C8290" w14:textId="2E2F394B" w:rsidR="007A0B5B" w:rsidRDefault="007A0B5B">
            <w:pPr>
              <w:pStyle w:val="TableParagraph"/>
              <w:ind w:left="645"/>
              <w:rPr>
                <w:sz w:val="21"/>
              </w:rPr>
            </w:pPr>
            <w:r>
              <w:rPr>
                <w:color w:val="3B3B3B"/>
                <w:sz w:val="21"/>
              </w:rPr>
              <w:t>AUTONOMIE</w:t>
            </w:r>
          </w:p>
        </w:tc>
      </w:tr>
      <w:tr w:rsidR="00D67BA2" w14:paraId="166C829F" w14:textId="77777777">
        <w:trPr>
          <w:trHeight w:val="1062"/>
        </w:trPr>
        <w:tc>
          <w:tcPr>
            <w:tcW w:w="3768" w:type="dxa"/>
            <w:tcBorders>
              <w:top w:val="thickThinMediumGap" w:sz="4" w:space="0" w:color="0C0C0C"/>
            </w:tcBorders>
          </w:tcPr>
          <w:p w14:paraId="166C8298" w14:textId="77777777" w:rsidR="00D67BA2" w:rsidRDefault="007A0B5B">
            <w:pPr>
              <w:pStyle w:val="TableParagraph"/>
              <w:spacing w:before="194" w:line="206" w:lineRule="auto"/>
              <w:ind w:left="40" w:hanging="3"/>
              <w:rPr>
                <w:sz w:val="21"/>
              </w:rPr>
            </w:pPr>
            <w:r>
              <w:rPr>
                <w:color w:val="111111"/>
                <w:w w:val="90"/>
                <w:sz w:val="21"/>
              </w:rPr>
              <w:t xml:space="preserve">Exploitation </w:t>
            </w:r>
            <w:r>
              <w:rPr>
                <w:color w:val="181818"/>
                <w:w w:val="90"/>
                <w:sz w:val="21"/>
              </w:rPr>
              <w:t xml:space="preserve">des </w:t>
            </w:r>
            <w:r>
              <w:rPr>
                <w:w w:val="90"/>
                <w:sz w:val="21"/>
              </w:rPr>
              <w:t xml:space="preserve">données </w:t>
            </w:r>
            <w:r>
              <w:rPr>
                <w:color w:val="111111"/>
                <w:w w:val="90"/>
                <w:sz w:val="21"/>
              </w:rPr>
              <w:t xml:space="preserve">à </w:t>
            </w:r>
            <w:r>
              <w:rPr>
                <w:w w:val="90"/>
                <w:sz w:val="21"/>
              </w:rPr>
              <w:t xml:space="preserve">des fins </w:t>
            </w:r>
            <w:r>
              <w:rPr>
                <w:color w:val="131313"/>
                <w:sz w:val="21"/>
              </w:rPr>
              <w:t>d'analyse</w:t>
            </w:r>
          </w:p>
        </w:tc>
        <w:tc>
          <w:tcPr>
            <w:tcW w:w="1829" w:type="dxa"/>
            <w:tcBorders>
              <w:top w:val="thickThinMediumGap" w:sz="4" w:space="0" w:color="0F0F0F"/>
            </w:tcBorders>
          </w:tcPr>
          <w:p w14:paraId="5F29F165" w14:textId="77777777" w:rsidR="00CF4954" w:rsidRDefault="00CF4954" w:rsidP="00CF4954">
            <w:r>
              <w:t>C2.3 Identifier, sélectionner, organiser diverses ressources spécialisées, pertinentes et vérifiées pour documenter un sujet.</w:t>
            </w:r>
          </w:p>
          <w:p w14:paraId="192C9A58" w14:textId="77777777" w:rsidR="00CF4954" w:rsidRDefault="00CF4954">
            <w:pPr>
              <w:pStyle w:val="TableParagraph"/>
              <w:spacing w:line="234" w:lineRule="exact"/>
              <w:ind w:left="91"/>
            </w:pPr>
          </w:p>
          <w:p w14:paraId="75149552" w14:textId="77777777" w:rsidR="00FB471C" w:rsidRDefault="00FB471C" w:rsidP="00FB471C">
            <w:r>
              <w:t>C2.4 Analyser et synthétiser des données en vue de leur exploitation</w:t>
            </w:r>
          </w:p>
          <w:p w14:paraId="166C829A" w14:textId="4A4A6143" w:rsidR="00FB471C" w:rsidRDefault="00FB471C">
            <w:pPr>
              <w:pStyle w:val="TableParagraph"/>
              <w:spacing w:line="234" w:lineRule="exact"/>
              <w:ind w:left="91"/>
            </w:pPr>
          </w:p>
        </w:tc>
        <w:tc>
          <w:tcPr>
            <w:tcW w:w="1824" w:type="dxa"/>
          </w:tcPr>
          <w:p w14:paraId="48B78445" w14:textId="77777777" w:rsidR="00FB471C" w:rsidRDefault="00FB471C" w:rsidP="00FB471C">
            <w:r>
              <w:t>C2.3 Identifier, sélectionner, organiser diverses ressources spécialisées, pertinentes et vérifiées pour documenter un sujet.</w:t>
            </w:r>
          </w:p>
          <w:p w14:paraId="435A18FE" w14:textId="77777777" w:rsidR="00FB471C" w:rsidRDefault="00FB471C" w:rsidP="00FB471C">
            <w:pPr>
              <w:pStyle w:val="TableParagraph"/>
              <w:spacing w:line="234" w:lineRule="exact"/>
              <w:ind w:left="91"/>
            </w:pPr>
          </w:p>
          <w:p w14:paraId="727D9E83" w14:textId="77777777" w:rsidR="00FB471C" w:rsidRDefault="00FB471C" w:rsidP="00FB471C">
            <w:r>
              <w:t>C2.4 Analyser et synthétiser des données en vue de leur exploitation</w:t>
            </w:r>
          </w:p>
          <w:p w14:paraId="166C829C" w14:textId="407E4F5D" w:rsidR="00D67BA2" w:rsidRDefault="00D67BA2">
            <w:pPr>
              <w:pStyle w:val="TableParagraph"/>
              <w:spacing w:line="231" w:lineRule="exact"/>
              <w:ind w:left="84"/>
            </w:pPr>
          </w:p>
        </w:tc>
        <w:tc>
          <w:tcPr>
            <w:tcW w:w="2040" w:type="dxa"/>
          </w:tcPr>
          <w:p w14:paraId="7B724E99" w14:textId="77777777" w:rsidR="004B250C" w:rsidRDefault="004B250C" w:rsidP="004B250C">
            <w:r>
              <w:t>C2.1 Mobiliser une culture générale et artistique ainsi qu’une connaissance des concepts issus de disciplines connexes pour analyser et apprécier les contextes de création, conception et production du design et des métiers d’art au regard de leurs dimensions historique, sociétale, esthétique, technologique, économique et environnementale</w:t>
            </w:r>
          </w:p>
          <w:p w14:paraId="166C829E" w14:textId="700142F3" w:rsidR="00D67BA2" w:rsidRDefault="00D67BA2">
            <w:pPr>
              <w:pStyle w:val="TableParagraph"/>
              <w:spacing w:line="236" w:lineRule="exact"/>
              <w:ind w:left="96"/>
            </w:pPr>
          </w:p>
        </w:tc>
      </w:tr>
      <w:tr w:rsidR="00D67BA2" w14:paraId="166C82B6" w14:textId="77777777">
        <w:trPr>
          <w:trHeight w:val="1062"/>
        </w:trPr>
        <w:tc>
          <w:tcPr>
            <w:tcW w:w="3768" w:type="dxa"/>
            <w:tcBorders>
              <w:bottom w:val="thinThickMediumGap" w:sz="4" w:space="0" w:color="444444"/>
            </w:tcBorders>
          </w:tcPr>
          <w:p w14:paraId="166C82B1" w14:textId="77777777" w:rsidR="00D67BA2" w:rsidRDefault="007A0B5B">
            <w:pPr>
              <w:pStyle w:val="TableParagraph"/>
              <w:spacing w:before="172"/>
              <w:ind w:left="39"/>
              <w:rPr>
                <w:sz w:val="19"/>
              </w:rPr>
            </w:pPr>
            <w:r>
              <w:rPr>
                <w:sz w:val="19"/>
              </w:rPr>
              <w:t xml:space="preserve">Expression </w:t>
            </w:r>
            <w:r>
              <w:rPr>
                <w:color w:val="111111"/>
                <w:sz w:val="19"/>
              </w:rPr>
              <w:t xml:space="preserve">et </w:t>
            </w:r>
            <w:r>
              <w:rPr>
                <w:sz w:val="19"/>
              </w:rPr>
              <w:t xml:space="preserve">communication orales </w:t>
            </w:r>
            <w:r>
              <w:rPr>
                <w:color w:val="131313"/>
                <w:sz w:val="19"/>
              </w:rPr>
              <w:t>et</w:t>
            </w:r>
          </w:p>
          <w:p w14:paraId="166C82B2" w14:textId="77777777" w:rsidR="00D67BA2" w:rsidRDefault="007A0B5B">
            <w:pPr>
              <w:pStyle w:val="TableParagraph"/>
              <w:spacing w:before="28"/>
              <w:ind w:left="41"/>
              <w:rPr>
                <w:sz w:val="18"/>
              </w:rPr>
            </w:pPr>
            <w:r>
              <w:rPr>
                <w:w w:val="105"/>
                <w:sz w:val="18"/>
              </w:rPr>
              <w:t>écrites</w:t>
            </w:r>
          </w:p>
        </w:tc>
        <w:tc>
          <w:tcPr>
            <w:tcW w:w="1829" w:type="dxa"/>
          </w:tcPr>
          <w:p w14:paraId="0C9FB7DE" w14:textId="77777777" w:rsidR="00DA3C3D" w:rsidRDefault="00DA3C3D" w:rsidP="00DA3C3D">
            <w:r>
              <w:t xml:space="preserve">C6.2 Maîtriser la compréhension et l’expression écrites et orales d’au moins une langue vivante étrangère, </w:t>
            </w:r>
            <w:r w:rsidRPr="000C34DB">
              <w:rPr>
                <w:b/>
                <w:bCs/>
              </w:rPr>
              <w:t>au niveau B2</w:t>
            </w:r>
            <w:r>
              <w:t xml:space="preserve"> du Cadre européen commun de références pour les langues (CECRL)</w:t>
            </w:r>
          </w:p>
          <w:p w14:paraId="166C82B3" w14:textId="33A99AAD" w:rsidR="00D67BA2" w:rsidRDefault="00D67BA2">
            <w:pPr>
              <w:pStyle w:val="TableParagraph"/>
              <w:spacing w:before="64"/>
              <w:ind w:left="522"/>
              <w:rPr>
                <w:sz w:val="19"/>
              </w:rPr>
            </w:pPr>
          </w:p>
        </w:tc>
        <w:tc>
          <w:tcPr>
            <w:tcW w:w="1824" w:type="dxa"/>
          </w:tcPr>
          <w:p w14:paraId="28DFF244" w14:textId="77777777" w:rsidR="00DA3C3D" w:rsidRDefault="00DA3C3D" w:rsidP="00DA3C3D">
            <w:r>
              <w:t xml:space="preserve">C6.2 Maîtriser la compréhension et l’expression écrites et orales d’au moins une langue vivante étrangère, </w:t>
            </w:r>
            <w:r w:rsidRPr="000C34DB">
              <w:rPr>
                <w:b/>
                <w:bCs/>
              </w:rPr>
              <w:t>au niveau B2</w:t>
            </w:r>
            <w:r>
              <w:t xml:space="preserve"> du Cadre européen commun de références pour les langues (CECRL)</w:t>
            </w:r>
          </w:p>
          <w:p w14:paraId="166C82B4" w14:textId="665D6B08" w:rsidR="00D67BA2" w:rsidRDefault="00D67BA2">
            <w:pPr>
              <w:pStyle w:val="TableParagraph"/>
              <w:spacing w:before="17"/>
              <w:ind w:left="90"/>
              <w:rPr>
                <w:sz w:val="24"/>
              </w:rPr>
            </w:pPr>
          </w:p>
        </w:tc>
        <w:tc>
          <w:tcPr>
            <w:tcW w:w="2040" w:type="dxa"/>
          </w:tcPr>
          <w:p w14:paraId="571FA553" w14:textId="77777777" w:rsidR="00DA3C3D" w:rsidRDefault="00DA3C3D" w:rsidP="00DA3C3D">
            <w:r>
              <w:t xml:space="preserve">C6.2 Maîtriser la compréhension et l’expression écrites et orales d’au moins une langue vivante étrangère, </w:t>
            </w:r>
            <w:r w:rsidRPr="000C34DB">
              <w:rPr>
                <w:b/>
                <w:bCs/>
              </w:rPr>
              <w:t>au niveau B2</w:t>
            </w:r>
            <w:r>
              <w:t xml:space="preserve"> du Cadre européen commun de références pour les langues (CECRL)</w:t>
            </w:r>
          </w:p>
          <w:p w14:paraId="166C82B5" w14:textId="325DE4CF" w:rsidR="00D67BA2" w:rsidRDefault="00D67BA2">
            <w:pPr>
              <w:pStyle w:val="TableParagraph"/>
              <w:spacing w:line="311" w:lineRule="exact"/>
              <w:ind w:left="99"/>
              <w:rPr>
                <w:sz w:val="29"/>
              </w:rPr>
            </w:pPr>
          </w:p>
        </w:tc>
      </w:tr>
      <w:tr w:rsidR="00D67BA2" w14:paraId="166C82DE" w14:textId="77777777">
        <w:trPr>
          <w:trHeight w:val="1065"/>
        </w:trPr>
        <w:tc>
          <w:tcPr>
            <w:tcW w:w="3768" w:type="dxa"/>
          </w:tcPr>
          <w:p w14:paraId="166C82D5" w14:textId="77777777" w:rsidR="00D67BA2" w:rsidRDefault="00D67BA2">
            <w:pPr>
              <w:pStyle w:val="TableParagraph"/>
              <w:spacing w:before="1"/>
              <w:rPr>
                <w:sz w:val="25"/>
              </w:rPr>
            </w:pPr>
          </w:p>
          <w:p w14:paraId="166C82D6" w14:textId="77777777" w:rsidR="00D67BA2" w:rsidRDefault="007A0B5B">
            <w:pPr>
              <w:pStyle w:val="TableParagraph"/>
              <w:ind w:left="48"/>
              <w:rPr>
                <w:sz w:val="17"/>
              </w:rPr>
            </w:pPr>
            <w:r>
              <w:rPr>
                <w:w w:val="110"/>
                <w:sz w:val="17"/>
              </w:rPr>
              <w:t xml:space="preserve">Elaboration </w:t>
            </w:r>
            <w:r>
              <w:rPr>
                <w:color w:val="1C1C1C"/>
                <w:w w:val="110"/>
                <w:sz w:val="17"/>
              </w:rPr>
              <w:t xml:space="preserve">d'une </w:t>
            </w:r>
            <w:r>
              <w:rPr>
                <w:w w:val="110"/>
                <w:sz w:val="17"/>
              </w:rPr>
              <w:t>stratégie personnelle</w:t>
            </w:r>
          </w:p>
        </w:tc>
        <w:tc>
          <w:tcPr>
            <w:tcW w:w="1829" w:type="dxa"/>
          </w:tcPr>
          <w:p w14:paraId="2DC7B56D" w14:textId="77777777" w:rsidR="006E765D" w:rsidRDefault="006E765D" w:rsidP="006E765D">
            <w:r>
              <w:t>C11.1 Faire état d’une pratique expérimentale personnelle.</w:t>
            </w:r>
          </w:p>
          <w:p w14:paraId="6187DD8E" w14:textId="77777777" w:rsidR="006E765D" w:rsidRDefault="006E765D" w:rsidP="006E765D">
            <w:r>
              <w:t>C11.2 Développer une argumentation en faisant preuve d’esprit critique.</w:t>
            </w:r>
          </w:p>
          <w:p w14:paraId="344B6AF3" w14:textId="77777777" w:rsidR="006E765D" w:rsidRPr="001C69EA" w:rsidRDefault="006E765D" w:rsidP="006E765D">
            <w:r>
              <w:t>C11.3 S’autoévaluer et se remettre en question pour apprendre</w:t>
            </w:r>
          </w:p>
          <w:p w14:paraId="166C82D8" w14:textId="38CD0F10" w:rsidR="00D67BA2" w:rsidRDefault="00D67BA2">
            <w:pPr>
              <w:pStyle w:val="TableParagraph"/>
              <w:spacing w:before="35"/>
              <w:ind w:left="101"/>
              <w:rPr>
                <w:sz w:val="17"/>
              </w:rPr>
            </w:pPr>
          </w:p>
        </w:tc>
        <w:tc>
          <w:tcPr>
            <w:tcW w:w="1824" w:type="dxa"/>
          </w:tcPr>
          <w:p w14:paraId="143DF046" w14:textId="77777777" w:rsidR="006E765D" w:rsidRDefault="006E765D" w:rsidP="006E765D">
            <w:r>
              <w:t>C11.1 Faire état d’une pratique expérimentale personnelle.</w:t>
            </w:r>
          </w:p>
          <w:p w14:paraId="27375C43" w14:textId="77777777" w:rsidR="006E765D" w:rsidRDefault="006E765D" w:rsidP="006E765D">
            <w:r>
              <w:t>C11.2 Développer une argumentation en faisant preuve d’esprit critique.</w:t>
            </w:r>
          </w:p>
          <w:p w14:paraId="11DB3DF9" w14:textId="77777777" w:rsidR="006E765D" w:rsidRPr="001C69EA" w:rsidRDefault="006E765D" w:rsidP="006E765D">
            <w:r>
              <w:t>C11.3 S’autoévaluer et se remettre en question pour apprendre</w:t>
            </w:r>
          </w:p>
          <w:p w14:paraId="166C82DA" w14:textId="31B8A926" w:rsidR="00D67BA2" w:rsidRDefault="00D67BA2">
            <w:pPr>
              <w:pStyle w:val="TableParagraph"/>
              <w:spacing w:line="229" w:lineRule="exact"/>
              <w:ind w:left="92"/>
              <w:rPr>
                <w:sz w:val="21"/>
              </w:rPr>
            </w:pPr>
          </w:p>
        </w:tc>
        <w:tc>
          <w:tcPr>
            <w:tcW w:w="2040" w:type="dxa"/>
          </w:tcPr>
          <w:p w14:paraId="1696D735" w14:textId="77777777" w:rsidR="006E765D" w:rsidRDefault="006E765D" w:rsidP="006E765D">
            <w:r>
              <w:t>C11.1 Faire état d’une pratique expérimentale personnelle.</w:t>
            </w:r>
          </w:p>
          <w:p w14:paraId="33CACEDE" w14:textId="77777777" w:rsidR="006E765D" w:rsidRDefault="006E765D" w:rsidP="006E765D">
            <w:r>
              <w:t>C11.2 Développer une argumentation en faisant preuve d’esprit critique.</w:t>
            </w:r>
          </w:p>
          <w:p w14:paraId="066EE07C" w14:textId="77777777" w:rsidR="006E765D" w:rsidRPr="001C69EA" w:rsidRDefault="006E765D" w:rsidP="006E765D">
            <w:r>
              <w:t>C11.3 S’autoévaluer et se remettre en question pour apprendre</w:t>
            </w:r>
          </w:p>
          <w:p w14:paraId="166C82DD" w14:textId="68797553" w:rsidR="00D67BA2" w:rsidRDefault="00D67BA2">
            <w:pPr>
              <w:pStyle w:val="TableParagraph"/>
              <w:spacing w:line="225" w:lineRule="exact"/>
              <w:ind w:left="97"/>
              <w:rPr>
                <w:sz w:val="21"/>
              </w:rPr>
            </w:pPr>
          </w:p>
        </w:tc>
      </w:tr>
    </w:tbl>
    <w:p w14:paraId="166C82DF" w14:textId="77777777" w:rsidR="00DD7C59" w:rsidRDefault="00DD7C59"/>
    <w:sectPr w:rsidR="00DD7C59">
      <w:type w:val="continuous"/>
      <w:pgSz w:w="11920" w:h="16840"/>
      <w:pgMar w:top="880" w:right="15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A2"/>
    <w:rsid w:val="00251236"/>
    <w:rsid w:val="004B250C"/>
    <w:rsid w:val="005E4260"/>
    <w:rsid w:val="006024A6"/>
    <w:rsid w:val="006E765D"/>
    <w:rsid w:val="007A0B5B"/>
    <w:rsid w:val="00A351AC"/>
    <w:rsid w:val="00CF4954"/>
    <w:rsid w:val="00D67BA2"/>
    <w:rsid w:val="00DA3C3D"/>
    <w:rsid w:val="00DD7C59"/>
    <w:rsid w:val="00FB4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66C8283"/>
  <w15:docId w15:val="{5F0B3CF5-9A45-4BDB-80A1-E1865E54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3"/>
      <w:szCs w:val="23"/>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MARTIN</dc:creator>
  <cp:lastModifiedBy>Pascal MARTIN</cp:lastModifiedBy>
  <cp:revision>3</cp:revision>
  <dcterms:created xsi:type="dcterms:W3CDTF">2021-09-25T16:16:00Z</dcterms:created>
  <dcterms:modified xsi:type="dcterms:W3CDTF">2021-09-25T16:17:00Z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HP Scan</vt:lpwstr>
  </property>
  <property fmtid="{D5CDD505-2E9C-101B-9397-08002B2CF9AE}" pid="4" name="LastSaved">
    <vt:filetime>2021-09-25T00:00:00Z</vt:filetime>
  </property>
</Properties>
</file>